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广东省门窗行业执业监督检查工作方案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一、工作目标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广东省门窗行业的健康发展，保障消费者权益，本工作方案旨在建立定期、规范的执业监督检查机制，通过强化监督，确保企业遵守执业准则，促进门窗行业持续进步，维护市场秩序，提升行业整体运营水平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二、监督检查机构与职责分工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成立广东省门窗行业自律委员会，作为行业自律和监督检查的核心机构。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）组织架构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主任：由会长担任，全面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行业自律工作。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副主任（若干）：由副会长及监事长担任，配合主任执行工作，协助主任进行决策和管理工作。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后勤保障：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秘书处负责，统筹日常管理工作，包括文件处理、会议组织、信息传达等。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）监督检查小组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小组组长：由自律委员会主任或副主任担任，负责带队某期监督检查工作。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监督检查员：由自律委员会副主任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和秘书处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担任</w:t>
      </w:r>
      <w:r>
        <w:rPr>
          <w:rFonts w:hint="eastAsia" w:ascii="仿宋" w:hAnsi="仿宋" w:eastAsia="仿宋" w:cs="仿宋"/>
          <w:sz w:val="32"/>
          <w:szCs w:val="32"/>
        </w:rPr>
        <w:t>，负责具体执行监督检查任务。包括按程序实地检查，记录检查情况，编写监督检查报告；跟进问题整改情况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参与问题处理会议，提出整改建议等。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后勤支持人员：负责监督检查所需的后勤保障，如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沟通协调、</w:t>
      </w:r>
      <w:r>
        <w:rPr>
          <w:rFonts w:hint="eastAsia" w:ascii="仿宋" w:hAnsi="仿宋" w:eastAsia="仿宋" w:cs="仿宋"/>
          <w:sz w:val="32"/>
          <w:szCs w:val="32"/>
        </w:rPr>
        <w:t>车辆安排、资料准备等；协助监督检查员整理检查资料，建立监督检查档案；参与组织培训活动，提升行业自律水平。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三、监督检查内容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监督检查内容包括但不限于：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安全管理：检查企业安全管理制度的建立与执行情况，包括安全生产责任制、安全教育培训、事故应急预案等；同时，核实消防设施的配置与维护情况。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员工资质：核实关键岗位员工是否具备相应的从业资格和证书，确保其具备从事门窗行业所需的专业知识和技能。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环保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</w:t>
      </w:r>
      <w:r>
        <w:rPr>
          <w:rFonts w:hint="eastAsia" w:ascii="仿宋" w:hAnsi="仿宋" w:eastAsia="仿宋" w:cs="仿宋"/>
          <w:sz w:val="32"/>
          <w:szCs w:val="32"/>
        </w:rPr>
        <w:t>：评估企业环保措施的执行情况，包括废气排放、资源利用等。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生产车间：检查生产车间的整体布局是否合理，设备摆放是否整齐有序；核实生产现场是否存在杂物乱放、垃圾堆积等现象，确保生产环境整洁有序。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展厅管理：评估企业展厅的布局和展示效果，检查展品是否摆放整齐、标识清晰；同时，核实展厅的卫生状况，确保为消费者提供良好的参观体验。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四、监督检查方式与程序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监督检查采用定期检查、专项检查和随机抽查相结合的方式，确保监督检查工作的全面性和有效性。委员会将严格按照计划执行，确保检查结果的客观性和公正性。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五、问题处理与应用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问题识别与记录：对监督检查中发现的问题进行详细记录，并收集相关证据。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问题反馈与沟通：及时将问题反馈给涉及的企业或个人，并明确要求其进行整改，提供整改建议和要求。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整改跟踪与监督：对整改情况进行跟踪监督，确保问题得到有效解决。对整改不到位或拒不整改的企业，采取相应措施。</w:t>
      </w:r>
    </w:p>
    <w:p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问题总结与经验分享：对问题进行总结分析，提出预防措施和改进建议。组织经验分享和交流活动，推广成功的整改经验和做法。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六、合规性与公正性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本监督检查工作为行业自律行为。我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将严格遵守相关法律法规和行业规定，确保监督检查工作的合规性和公正性，避免任何越权行为。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七、加强行业自律与培训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针对监督检查中发现的普遍性或典型性问题，加强行业自律机制建设，完善相关规章制度。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同时计划</w:t>
      </w:r>
      <w:r>
        <w:rPr>
          <w:rFonts w:hint="eastAsia" w:ascii="仿宋" w:hAnsi="仿宋" w:eastAsia="仿宋" w:cs="仿宋"/>
          <w:sz w:val="32"/>
          <w:szCs w:val="32"/>
        </w:rPr>
        <w:t>组织培训活动，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提升企业和从业人员的专业素养和执业能力。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八、建立信息共享与联动机制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与政府部门、消费者组织等相关方保持密切联系，及时共享监督检查信息，共同推动问题的解决。加强与其他地区的合作与交流，提升广东省门窗行业的整体竞争力。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九、附则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自广东省门窗协会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第二届第六次理事会审议通过后正式</w:t>
      </w:r>
      <w:r>
        <w:rPr>
          <w:rFonts w:hint="eastAsia" w:ascii="仿宋" w:hAnsi="仿宋" w:eastAsia="仿宋" w:cs="仿宋"/>
          <w:sz w:val="32"/>
          <w:szCs w:val="32"/>
        </w:rPr>
        <w:t>执行，由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负责解释。在执行过程中如遇特殊情况或需要调整，应及时报请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批准。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/>
          <w:lang w:val="en-US" w:eastAsia="zh-CN"/>
        </w:rPr>
        <w:t>执业</w:t>
      </w:r>
      <w:r>
        <w:rPr>
          <w:rFonts w:hint="default"/>
        </w:rPr>
        <w:t>监督检查计划</w:t>
      </w:r>
      <w:r>
        <w:rPr>
          <w:rFonts w:hint="eastAsia"/>
          <w:lang w:eastAsia="zh-CN"/>
        </w:rPr>
        <w:t>表模板</w:t>
      </w:r>
    </w:p>
    <w:p>
      <w:pPr>
        <w:bidi w:val="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</w:t>
      </w:r>
      <w:r>
        <w:rPr>
          <w:rFonts w:hint="eastAsia"/>
        </w:rPr>
        <w:t>执业监督检查表</w:t>
      </w:r>
      <w:r>
        <w:rPr>
          <w:rFonts w:hint="eastAsia"/>
          <w:lang w:eastAsia="zh-CN"/>
        </w:rPr>
        <w:t>模板</w:t>
      </w:r>
    </w:p>
    <w:p>
      <w:pP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DFDF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DFDFE"/>
        </w:rPr>
        <w:br w:type="page"/>
      </w:r>
    </w:p>
    <w:p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 执业</w:t>
      </w:r>
      <w:r>
        <w:rPr>
          <w:rFonts w:hint="default"/>
        </w:rPr>
        <w:t>监督检查计划</w:t>
      </w:r>
      <w:r>
        <w:rPr>
          <w:rFonts w:hint="eastAsia"/>
          <w:lang w:eastAsia="zh-CN"/>
        </w:rPr>
        <w:t>表模板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广东省门窗行业执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监督检查计划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企业名称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地址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公司职务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联系电话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二、检查类型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定期检查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专项检查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、检查目标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确保企业遵守门窗行业相关法规及标准。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评估企业安全生产、环保措施及产品质量管理情况。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发现潜在问题并提出整改建议。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、检查内容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安全管理：检查企业安全管理制度、应急预案及消防设施等。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员工资质：核实关键岗位员工从业资格及证书。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环保措施：评估企业废气排放、资源利用等环保措施执行情况。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生产车间：检查车间布局、设备摆放及生产现场卫生状况。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展厅管理：评估展厅布局、展品展示及卫生状况。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、检查方式与时间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检查方式：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实地检查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文件审查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□其他：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日期：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、检查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小组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人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组长：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0" w:after="46" w:afterLines="10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成员：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</w:tbl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>广东省门窗行业执业监督检查表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Style w:val="10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</w:rPr>
        <w:t>广东省门窗行业执业监督检查表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leftChars="0" w:right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企业名称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_______________________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 xml:space="preserve">  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地址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leftChars="0" w:right="0" w:firstLine="0" w:firstLineChars="0"/>
        <w:rPr>
          <w:rStyle w:val="10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5073B"/>
          <w:spacing w:val="0"/>
          <w:sz w:val="18"/>
          <w:szCs w:val="18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联系人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________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 xml:space="preserve">   公司职务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_______________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 xml:space="preserve">    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联系电话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24"/>
          <w:szCs w:val="24"/>
        </w:rPr>
        <w:t>_______________________</w:t>
      </w:r>
    </w:p>
    <w:tbl>
      <w:tblPr>
        <w:tblStyle w:val="8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195"/>
        <w:gridCol w:w="344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检查项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检查结果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安全管理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安全生产责任制落实情况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□已落实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未落实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安全教育培训开展情况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□定期开展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□未定期开展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事故应急预案制定及演练情况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□已制定并定期演练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未制定或未演练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消防设施配置与维护情况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□配置齐全且维护良好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□配置不全或维护不善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员工资质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关键岗位员工从业资格持有情况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□全部持有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部分持有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□均未持有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员工专业知识与技能培训情况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 xml:space="preserve">□定期培训并考核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□未定期培训或考核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环保措施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废气排放处理设施运行情况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□运行正常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□运行不正常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无设施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资源利用与节能措施实施情况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□实施良好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□部分实施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未实施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生产车间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生产车间布局与设备摆放情况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□布局合理、设备整齐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□布局不合理或设备摆放杂乱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现场杂物与垃圾处理情况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□处理及时、无积存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□处理不及时或有积存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展厅管理</w:t>
            </w: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展厅布局与展示效果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□布局合理、展示效果好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□布局不合理或展示效果不佳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展品摆放与标识情况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□摆放整齐、标识清晰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□摆放杂乱或标识不清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展厅卫生状况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□卫生状况良好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□卫生状况不佳</w:t>
            </w:r>
          </w:p>
        </w:tc>
        <w:tc>
          <w:tcPr>
            <w:tcW w:w="9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3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整体评价</w:t>
            </w:r>
          </w:p>
        </w:tc>
        <w:tc>
          <w:tcPr>
            <w:tcW w:w="4360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4" w:type="pct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检查人签名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_____________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______年____月____日</w:t>
            </w:r>
          </w:p>
        </w:tc>
        <w:tc>
          <w:tcPr>
            <w:tcW w:w="2735" w:type="pct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被检查单位代表签名：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__________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</w:rPr>
              <w:t>______年____月____日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本表用于记录企业执业监督检查的实际情况，请认真填写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检查人员应客观公正地评价各项内容的完成情况，并在相应选项上打勾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若存在不符合要求的情况，请在备注栏中详细说明，并提出整改建议。</w:t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6D2E41-4E13-4A3B-AA87-948518DFC2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FDECB8-D3F2-4D62-A71A-6FA3DC7D36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319DE0-1D64-4E93-AE6C-2C65300C5BF3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4" w:fontKey="{41EAFB3E-4F5B-4B57-959C-56568D01CBC2}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4"/>
                            </w:rPr>
                          </w:pPr>
                          <w:r>
                            <w:rPr>
                              <w:sz w:val="24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4"/>
                            </w:rPr>
                            <w:t>1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4"/>
                            </w:rPr>
                            <w:t>4</w:t>
                          </w:r>
                          <w:r>
                            <w:rPr>
                              <w:sz w:val="2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4"/>
                      </w:rPr>
                    </w:pPr>
                    <w:r>
                      <w:rPr>
                        <w:sz w:val="24"/>
                        <w:szCs w:val="44"/>
                      </w:rPr>
                      <w:t xml:space="preserve">第 </w:t>
                    </w:r>
                    <w:r>
                      <w:rPr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sz w:val="24"/>
                        <w:szCs w:val="44"/>
                      </w:rPr>
                      <w:t>1</w:t>
                    </w:r>
                    <w:r>
                      <w:rPr>
                        <w:sz w:val="24"/>
                        <w:szCs w:val="44"/>
                      </w:rPr>
                      <w:fldChar w:fldCharType="end"/>
                    </w:r>
                    <w:r>
                      <w:rPr>
                        <w:sz w:val="24"/>
                        <w:szCs w:val="44"/>
                      </w:rPr>
                      <w:t xml:space="preserve"> 页 共 </w:t>
                    </w:r>
                    <w:r>
                      <w:rPr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sz w:val="24"/>
                        <w:szCs w:val="4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sz w:val="24"/>
                        <w:szCs w:val="44"/>
                      </w:rPr>
                      <w:t>4</w:t>
                    </w:r>
                    <w:r>
                      <w:rPr>
                        <w:sz w:val="24"/>
                        <w:szCs w:val="44"/>
                      </w:rPr>
                      <w:fldChar w:fldCharType="end"/>
                    </w:r>
                    <w:r>
                      <w:rPr>
                        <w:sz w:val="24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4C7A9"/>
    <w:multiLevelType w:val="singleLevel"/>
    <w:tmpl w:val="D314C7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575D0EE"/>
    <w:multiLevelType w:val="singleLevel"/>
    <w:tmpl w:val="0575D0E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00000000"/>
    <w:rsid w:val="02BD7F0B"/>
    <w:rsid w:val="086530B3"/>
    <w:rsid w:val="0E5D1046"/>
    <w:rsid w:val="18725A29"/>
    <w:rsid w:val="256C5C14"/>
    <w:rsid w:val="25F65F4A"/>
    <w:rsid w:val="302F7B0B"/>
    <w:rsid w:val="440920A4"/>
    <w:rsid w:val="47993F84"/>
    <w:rsid w:val="49217F3A"/>
    <w:rsid w:val="4E473EF5"/>
    <w:rsid w:val="530F07D3"/>
    <w:rsid w:val="53285800"/>
    <w:rsid w:val="59CA0A1F"/>
    <w:rsid w:val="5F3A53B0"/>
    <w:rsid w:val="64C37BF6"/>
    <w:rsid w:val="68830F17"/>
    <w:rsid w:val="719A2EFA"/>
    <w:rsid w:val="73E14BAA"/>
    <w:rsid w:val="771124A3"/>
    <w:rsid w:val="7AC5045A"/>
    <w:rsid w:val="7DDC0345"/>
    <w:rsid w:val="7F343772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安静の鱼 巛~</cp:lastModifiedBy>
  <dcterms:modified xsi:type="dcterms:W3CDTF">2024-05-08T06:21:08Z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4D1B0DA13B714D559ACA7AEA8CA8DB04_13</vt:lpwstr>
  </property>
</Properties>
</file>